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55" w:rsidRDefault="0050046E">
      <w:pPr>
        <w:spacing w:before="70"/>
        <w:ind w:right="138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226060</wp:posOffset>
                </wp:positionV>
                <wp:extent cx="981583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58"/>
                            <a:gd name="T2" fmla="+- 0 16149 691"/>
                            <a:gd name="T3" fmla="*/ T2 w 15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58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F36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E0C8" id="Freeform 4" o:spid="_x0000_s1026" style="position:absolute;margin-left:34.55pt;margin-top:17.8pt;width:772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" path="m,l15458,e" filled="f" strokecolor="#0f3644" strokeweight=".96pt">
                <v:path arrowok="t" o:connecttype="custom" o:connectlocs="0,0;9815830,0" o:connectangles="0,0"/>
                <w10:wrap type="topAndBottom" anchorx="page"/>
              </v:shape>
            </w:pict>
          </mc:Fallback>
        </mc:AlternateContent>
      </w:r>
      <w:r w:rsidR="00EF6984">
        <w:rPr>
          <w:b/>
          <w:color w:val="0F3644"/>
        </w:rPr>
        <w:t xml:space="preserve">SSD 8981 </w:t>
      </w:r>
      <w:r w:rsidR="00BE7D89">
        <w:rPr>
          <w:b/>
          <w:color w:val="0F3644"/>
        </w:rPr>
        <w:t>CONSTRUCTION MONITORING RESULTS</w:t>
      </w:r>
    </w:p>
    <w:p w:rsidR="003D7755" w:rsidRDefault="003D7755">
      <w:pPr>
        <w:pStyle w:val="BodyText"/>
        <w:spacing w:before="5"/>
        <w:rPr>
          <w:b/>
          <w:sz w:val="17"/>
        </w:rPr>
      </w:pPr>
    </w:p>
    <w:p w:rsidR="003D7755" w:rsidRDefault="00BE7D89">
      <w:pPr>
        <w:spacing w:before="89"/>
        <w:ind w:left="140"/>
        <w:rPr>
          <w:b/>
          <w:sz w:val="32"/>
        </w:rPr>
      </w:pPr>
      <w:r>
        <w:rPr>
          <w:b/>
          <w:color w:val="0F3644"/>
          <w:sz w:val="32"/>
        </w:rPr>
        <w:t>Construction Monitoring Results</w:t>
      </w:r>
    </w:p>
    <w:p w:rsidR="003D7755" w:rsidRDefault="00BE7D89">
      <w:pPr>
        <w:pStyle w:val="BodyText"/>
        <w:spacing w:before="153"/>
        <w:ind w:left="140"/>
      </w:pPr>
      <w:r>
        <w:t xml:space="preserve">The </w:t>
      </w:r>
      <w:r w:rsidR="00EF6984">
        <w:t>Coffs Harbour Hospital</w:t>
      </w:r>
      <w:r>
        <w:t xml:space="preserve"> </w:t>
      </w:r>
      <w:r w:rsidR="00EF6984">
        <w:t xml:space="preserve">Expansion Project </w:t>
      </w:r>
      <w:r>
        <w:t>complies with strict environmental and planning controls</w:t>
      </w:r>
      <w:r w:rsidR="00EF6984">
        <w:t xml:space="preserve"> as detailed in the Construction Environmental Management Plan</w:t>
      </w:r>
      <w:r>
        <w:t>. Mitigation measures are in place to manage noise, dust and vibration.</w:t>
      </w:r>
    </w:p>
    <w:p w:rsidR="003D7755" w:rsidRDefault="00BE7D89">
      <w:pPr>
        <w:pStyle w:val="BodyText"/>
        <w:spacing w:before="178" w:line="261" w:lineRule="auto"/>
        <w:ind w:left="140" w:right="467"/>
      </w:pPr>
      <w:r>
        <w:t>As a condition of State Significant Development approval SSD</w:t>
      </w:r>
      <w:r w:rsidR="00EF6984">
        <w:t>8981</w:t>
      </w:r>
      <w:r>
        <w:t xml:space="preserve"> the </w:t>
      </w:r>
      <w:r w:rsidR="00EF6984">
        <w:t xml:space="preserve">Coffs Harbour Hospital Expansion Project </w:t>
      </w:r>
      <w:r w:rsidR="00C638FC">
        <w:t>will</w:t>
      </w:r>
      <w:r>
        <w:t xml:space="preserve"> </w:t>
      </w:r>
      <w:r w:rsidR="00BB30CC">
        <w:t>provide</w:t>
      </w:r>
      <w:r w:rsidR="00C638FC">
        <w:t xml:space="preserve"> reporting on</w:t>
      </w:r>
      <w:r w:rsidR="005E59D1">
        <w:t xml:space="preserve"> environmental performance which may include but not be limited to </w:t>
      </w:r>
      <w:r>
        <w:t>noise</w:t>
      </w:r>
      <w:r w:rsidR="005E59D1">
        <w:t>, dust and/ or vibration monitoring</w:t>
      </w:r>
      <w:r>
        <w:t xml:space="preserve"> levels. </w:t>
      </w:r>
    </w:p>
    <w:p w:rsidR="003D7755" w:rsidRDefault="00BE7D89">
      <w:pPr>
        <w:pStyle w:val="Heading1"/>
        <w:spacing w:before="195"/>
      </w:pPr>
      <w:r>
        <w:rPr>
          <w:color w:val="0F3644"/>
        </w:rPr>
        <w:t>Monitoring results</w:t>
      </w:r>
    </w:p>
    <w:p w:rsidR="003D7755" w:rsidRPr="004736EA" w:rsidRDefault="00BE7D89">
      <w:pPr>
        <w:pStyle w:val="BodyText"/>
        <w:spacing w:before="103"/>
        <w:ind w:left="140"/>
      </w:pPr>
      <w:r w:rsidRPr="004736EA">
        <w:t xml:space="preserve">The following exceedance criteria is applied to the </w:t>
      </w:r>
      <w:r w:rsidR="00EF6984" w:rsidRPr="004736EA">
        <w:t xml:space="preserve">Coffs Harbour Hospital Expansion Project </w:t>
      </w:r>
      <w:r w:rsidRPr="004736EA">
        <w:t>site:</w:t>
      </w:r>
    </w:p>
    <w:p w:rsidR="003D7755" w:rsidRPr="004736EA" w:rsidRDefault="00BE7D8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77"/>
        <w:rPr>
          <w:sz w:val="20"/>
          <w:szCs w:val="20"/>
        </w:rPr>
      </w:pPr>
      <w:r w:rsidRPr="004736EA">
        <w:rPr>
          <w:b/>
          <w:sz w:val="20"/>
          <w:szCs w:val="20"/>
        </w:rPr>
        <w:t xml:space="preserve">Noise </w:t>
      </w:r>
      <w:r w:rsidRPr="004736EA">
        <w:rPr>
          <w:sz w:val="20"/>
          <w:szCs w:val="20"/>
        </w:rPr>
        <w:t xml:space="preserve">– </w:t>
      </w:r>
      <w:r w:rsidR="00C638FC">
        <w:rPr>
          <w:sz w:val="20"/>
          <w:szCs w:val="20"/>
        </w:rPr>
        <w:tab/>
      </w:r>
      <w:r w:rsidRPr="004736EA">
        <w:rPr>
          <w:sz w:val="20"/>
          <w:szCs w:val="20"/>
        </w:rPr>
        <w:t xml:space="preserve">The noise criteria for the project is </w:t>
      </w:r>
      <w:r w:rsidR="004736EA" w:rsidRPr="004736EA">
        <w:rPr>
          <w:sz w:val="20"/>
          <w:szCs w:val="20"/>
        </w:rPr>
        <w:t>noise to be limited to 10dB(A)L</w:t>
      </w:r>
      <w:r w:rsidR="004736EA" w:rsidRPr="004736EA">
        <w:rPr>
          <w:sz w:val="20"/>
          <w:szCs w:val="20"/>
          <w:vertAlign w:val="subscript"/>
        </w:rPr>
        <w:t>eq(15min)</w:t>
      </w:r>
      <w:r w:rsidR="004736EA" w:rsidRPr="004736EA">
        <w:rPr>
          <w:sz w:val="20"/>
          <w:szCs w:val="20"/>
        </w:rPr>
        <w:t xml:space="preserve"> above ambient levels</w:t>
      </w:r>
      <w:r w:rsidR="00FD6C7D">
        <w:rPr>
          <w:sz w:val="20"/>
          <w:szCs w:val="20"/>
        </w:rPr>
        <w:t xml:space="preserve"> </w:t>
      </w:r>
      <w:r w:rsidRPr="004736EA">
        <w:rPr>
          <w:sz w:val="20"/>
          <w:szCs w:val="20"/>
        </w:rPr>
        <w:t xml:space="preserve">and </w:t>
      </w:r>
      <w:r w:rsidR="00FD6C7D">
        <w:rPr>
          <w:sz w:val="20"/>
          <w:szCs w:val="20"/>
        </w:rPr>
        <w:t xml:space="preserve">a </w:t>
      </w:r>
      <w:r w:rsidRPr="004736EA">
        <w:rPr>
          <w:sz w:val="20"/>
          <w:szCs w:val="20"/>
        </w:rPr>
        <w:t>Highly Noise Affected goal of 75</w:t>
      </w:r>
      <w:r w:rsidRPr="004736EA">
        <w:rPr>
          <w:spacing w:val="-15"/>
          <w:sz w:val="20"/>
          <w:szCs w:val="20"/>
        </w:rPr>
        <w:t xml:space="preserve"> </w:t>
      </w:r>
      <w:r w:rsidRPr="004736EA">
        <w:rPr>
          <w:sz w:val="20"/>
          <w:szCs w:val="20"/>
        </w:rPr>
        <w:t>dB(A).</w:t>
      </w:r>
    </w:p>
    <w:p w:rsidR="004736EA" w:rsidRPr="004736EA" w:rsidRDefault="00BE7D8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 w:line="256" w:lineRule="auto"/>
        <w:ind w:right="436"/>
        <w:rPr>
          <w:sz w:val="20"/>
          <w:szCs w:val="20"/>
        </w:rPr>
      </w:pPr>
      <w:r w:rsidRPr="004736EA">
        <w:rPr>
          <w:b/>
          <w:sz w:val="20"/>
          <w:szCs w:val="20"/>
        </w:rPr>
        <w:t>Vibration</w:t>
      </w:r>
      <w:r w:rsidRPr="004736EA">
        <w:rPr>
          <w:b/>
          <w:spacing w:val="1"/>
          <w:sz w:val="20"/>
          <w:szCs w:val="20"/>
        </w:rPr>
        <w:t xml:space="preserve"> </w:t>
      </w:r>
      <w:r w:rsidRPr="004736EA">
        <w:rPr>
          <w:sz w:val="20"/>
          <w:szCs w:val="20"/>
        </w:rPr>
        <w:t>–</w:t>
      </w:r>
      <w:r w:rsidRPr="004736EA">
        <w:rPr>
          <w:spacing w:val="-3"/>
          <w:sz w:val="20"/>
          <w:szCs w:val="20"/>
        </w:rPr>
        <w:t xml:space="preserve"> </w:t>
      </w:r>
      <w:r w:rsidR="00C638FC">
        <w:rPr>
          <w:spacing w:val="-3"/>
          <w:sz w:val="20"/>
          <w:szCs w:val="20"/>
        </w:rPr>
        <w:tab/>
      </w:r>
      <w:r w:rsidRPr="004736EA">
        <w:rPr>
          <w:sz w:val="20"/>
          <w:szCs w:val="20"/>
        </w:rPr>
        <w:t>The</w:t>
      </w:r>
      <w:r w:rsidRPr="004736EA">
        <w:rPr>
          <w:spacing w:val="-2"/>
          <w:sz w:val="20"/>
          <w:szCs w:val="20"/>
        </w:rPr>
        <w:t xml:space="preserve"> </w:t>
      </w:r>
      <w:r w:rsidRPr="004736EA">
        <w:rPr>
          <w:sz w:val="20"/>
          <w:szCs w:val="20"/>
        </w:rPr>
        <w:t>precautionary</w:t>
      </w:r>
      <w:r w:rsidRPr="004736EA">
        <w:rPr>
          <w:spacing w:val="-4"/>
          <w:sz w:val="20"/>
          <w:szCs w:val="20"/>
        </w:rPr>
        <w:t xml:space="preserve"> </w:t>
      </w:r>
      <w:r w:rsidRPr="004736EA">
        <w:rPr>
          <w:sz w:val="20"/>
          <w:szCs w:val="20"/>
        </w:rPr>
        <w:t>vibration</w:t>
      </w:r>
      <w:r w:rsidRPr="004736EA">
        <w:rPr>
          <w:spacing w:val="-2"/>
          <w:sz w:val="20"/>
          <w:szCs w:val="20"/>
        </w:rPr>
        <w:t xml:space="preserve"> </w:t>
      </w:r>
      <w:r w:rsidRPr="004736EA">
        <w:rPr>
          <w:sz w:val="20"/>
          <w:szCs w:val="20"/>
        </w:rPr>
        <w:t>criteria</w:t>
      </w:r>
      <w:r w:rsidRPr="004736EA">
        <w:rPr>
          <w:spacing w:val="-3"/>
          <w:sz w:val="20"/>
          <w:szCs w:val="20"/>
        </w:rPr>
        <w:t xml:space="preserve"> </w:t>
      </w:r>
      <w:r w:rsidRPr="004736EA">
        <w:rPr>
          <w:sz w:val="20"/>
          <w:szCs w:val="20"/>
        </w:rPr>
        <w:t>for</w:t>
      </w:r>
      <w:r w:rsidRPr="004736EA">
        <w:rPr>
          <w:spacing w:val="-2"/>
          <w:sz w:val="20"/>
          <w:szCs w:val="20"/>
        </w:rPr>
        <w:t xml:space="preserve"> </w:t>
      </w:r>
      <w:r w:rsidRPr="004736EA">
        <w:rPr>
          <w:sz w:val="20"/>
          <w:szCs w:val="20"/>
        </w:rPr>
        <w:t>the</w:t>
      </w:r>
      <w:r w:rsidRPr="004736EA">
        <w:rPr>
          <w:spacing w:val="-1"/>
          <w:sz w:val="20"/>
          <w:szCs w:val="20"/>
        </w:rPr>
        <w:t xml:space="preserve"> </w:t>
      </w:r>
      <w:r w:rsidRPr="004736EA">
        <w:rPr>
          <w:sz w:val="20"/>
          <w:szCs w:val="20"/>
        </w:rPr>
        <w:t>project</w:t>
      </w:r>
      <w:r w:rsidRPr="004736EA">
        <w:rPr>
          <w:spacing w:val="-2"/>
          <w:sz w:val="20"/>
          <w:szCs w:val="20"/>
        </w:rPr>
        <w:t xml:space="preserve"> </w:t>
      </w:r>
      <w:r w:rsidRPr="004736EA">
        <w:rPr>
          <w:sz w:val="20"/>
          <w:szCs w:val="20"/>
        </w:rPr>
        <w:t>are</w:t>
      </w:r>
      <w:r w:rsidR="00FD6C7D">
        <w:rPr>
          <w:spacing w:val="-3"/>
          <w:sz w:val="20"/>
          <w:szCs w:val="20"/>
        </w:rPr>
        <w:t>:</w:t>
      </w:r>
    </w:p>
    <w:p w:rsidR="003D7755" w:rsidRPr="004736EA" w:rsidRDefault="004736EA" w:rsidP="00C638FC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6" w:line="256" w:lineRule="auto"/>
        <w:ind w:right="436"/>
        <w:rPr>
          <w:sz w:val="20"/>
          <w:szCs w:val="20"/>
        </w:rPr>
      </w:pPr>
      <w:r w:rsidRPr="004736EA">
        <w:rPr>
          <w:b/>
          <w:sz w:val="20"/>
          <w:szCs w:val="20"/>
        </w:rPr>
        <w:t xml:space="preserve">Structural - </w:t>
      </w:r>
      <w:r w:rsidR="00BE7D89" w:rsidRPr="004736EA">
        <w:rPr>
          <w:sz w:val="20"/>
          <w:szCs w:val="20"/>
        </w:rPr>
        <w:t>5</w:t>
      </w:r>
      <w:r w:rsidRPr="004736EA">
        <w:rPr>
          <w:sz w:val="20"/>
          <w:szCs w:val="20"/>
        </w:rPr>
        <w:t>0</w:t>
      </w:r>
      <w:r w:rsidR="00BE7D89" w:rsidRPr="004736EA">
        <w:rPr>
          <w:sz w:val="20"/>
          <w:szCs w:val="20"/>
        </w:rPr>
        <w:t>mm/s</w:t>
      </w:r>
      <w:r w:rsidR="00BE7D89" w:rsidRPr="004736EA">
        <w:rPr>
          <w:spacing w:val="-1"/>
          <w:sz w:val="20"/>
          <w:szCs w:val="20"/>
        </w:rPr>
        <w:t xml:space="preserve"> </w:t>
      </w:r>
      <w:r w:rsidR="00BE7D89" w:rsidRPr="004736EA">
        <w:rPr>
          <w:sz w:val="20"/>
          <w:szCs w:val="20"/>
        </w:rPr>
        <w:t xml:space="preserve">peak </w:t>
      </w:r>
      <w:r w:rsidRPr="004736EA">
        <w:rPr>
          <w:sz w:val="20"/>
          <w:szCs w:val="20"/>
        </w:rPr>
        <w:t xml:space="preserve">particle </w:t>
      </w:r>
      <w:r w:rsidR="00BE7D89" w:rsidRPr="004736EA">
        <w:rPr>
          <w:sz w:val="20"/>
          <w:szCs w:val="20"/>
        </w:rPr>
        <w:t>velocity</w:t>
      </w:r>
      <w:r w:rsidR="00BE7D89" w:rsidRPr="004736EA">
        <w:rPr>
          <w:spacing w:val="-2"/>
          <w:sz w:val="20"/>
          <w:szCs w:val="20"/>
        </w:rPr>
        <w:t xml:space="preserve"> </w:t>
      </w:r>
      <w:r w:rsidRPr="004736EA">
        <w:rPr>
          <w:spacing w:val="-2"/>
          <w:sz w:val="20"/>
          <w:szCs w:val="20"/>
        </w:rPr>
        <w:t>fo</w:t>
      </w:r>
      <w:bookmarkStart w:id="0" w:name="_GoBack"/>
      <w:bookmarkEnd w:id="0"/>
      <w:r w:rsidRPr="004736EA">
        <w:rPr>
          <w:spacing w:val="-2"/>
          <w:sz w:val="20"/>
          <w:szCs w:val="20"/>
        </w:rPr>
        <w:t>r frequencies &gt;4Hz</w:t>
      </w:r>
      <w:r w:rsidRPr="004736EA">
        <w:rPr>
          <w:sz w:val="20"/>
          <w:szCs w:val="20"/>
        </w:rPr>
        <w:t>;</w:t>
      </w:r>
    </w:p>
    <w:p w:rsidR="004736EA" w:rsidRPr="00C638FC" w:rsidRDefault="004736EA" w:rsidP="00C638FC">
      <w:pPr>
        <w:pStyle w:val="Table-Text"/>
        <w:numPr>
          <w:ilvl w:val="1"/>
          <w:numId w:val="1"/>
        </w:numPr>
        <w:tabs>
          <w:tab w:val="left" w:pos="859"/>
          <w:tab w:val="left" w:pos="860"/>
        </w:tabs>
        <w:spacing w:before="16" w:line="256" w:lineRule="auto"/>
        <w:ind w:right="436"/>
        <w:rPr>
          <w:sz w:val="20"/>
          <w:szCs w:val="20"/>
        </w:rPr>
      </w:pPr>
      <w:r w:rsidRPr="00C638FC">
        <w:rPr>
          <w:b/>
          <w:color w:val="auto"/>
          <w:sz w:val="20"/>
          <w:szCs w:val="20"/>
        </w:rPr>
        <w:t>Human Comfort</w:t>
      </w:r>
      <w:r w:rsidRPr="00C638FC">
        <w:rPr>
          <w:color w:val="auto"/>
          <w:sz w:val="20"/>
          <w:szCs w:val="20"/>
        </w:rPr>
        <w:t xml:space="preserve"> (impulsive Vibration) – Critical working areas e.g. operating theatres, precision laboratories etc. – Maximum 0.28mm/s Peak Velocity</w:t>
      </w:r>
      <w:r w:rsidR="00C638FC" w:rsidRPr="00C638FC">
        <w:rPr>
          <w:color w:val="auto"/>
          <w:sz w:val="20"/>
          <w:szCs w:val="20"/>
        </w:rPr>
        <w:t xml:space="preserve">; </w:t>
      </w:r>
      <w:r w:rsidRPr="00C638FC">
        <w:rPr>
          <w:sz w:val="20"/>
          <w:szCs w:val="20"/>
        </w:rPr>
        <w:t>Offices Maximum 36mm/s Peak Velocity</w:t>
      </w:r>
    </w:p>
    <w:p w:rsidR="003D7755" w:rsidRPr="004736EA" w:rsidRDefault="00BE7D8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 w:line="259" w:lineRule="auto"/>
        <w:ind w:right="408"/>
        <w:rPr>
          <w:sz w:val="20"/>
          <w:szCs w:val="20"/>
        </w:rPr>
      </w:pPr>
      <w:r w:rsidRPr="004736EA">
        <w:rPr>
          <w:b/>
          <w:sz w:val="20"/>
          <w:szCs w:val="20"/>
        </w:rPr>
        <w:t xml:space="preserve">Air Quality </w:t>
      </w:r>
      <w:r w:rsidRPr="004736EA">
        <w:rPr>
          <w:sz w:val="20"/>
          <w:szCs w:val="20"/>
        </w:rPr>
        <w:t>–</w:t>
      </w:r>
      <w:r w:rsidR="00C638FC">
        <w:rPr>
          <w:sz w:val="20"/>
          <w:szCs w:val="20"/>
        </w:rPr>
        <w:t xml:space="preserve"> </w:t>
      </w:r>
      <w:r w:rsidR="00C638FC">
        <w:rPr>
          <w:sz w:val="20"/>
          <w:szCs w:val="20"/>
        </w:rPr>
        <w:tab/>
        <w:t xml:space="preserve">The target for Dust NOS is set as a 24-hour rolling average of PM10 at </w:t>
      </w:r>
      <w:r w:rsidR="00C638FC" w:rsidRPr="00C638FC">
        <w:rPr>
          <w:sz w:val="20"/>
          <w:szCs w:val="20"/>
        </w:rPr>
        <w:t>150</w:t>
      </w:r>
      <w:r w:rsidRPr="00C638FC">
        <w:rPr>
          <w:sz w:val="20"/>
          <w:szCs w:val="20"/>
        </w:rPr>
        <w:t>μg/m</w:t>
      </w:r>
      <w:r w:rsidRPr="00C638FC">
        <w:rPr>
          <w:sz w:val="20"/>
          <w:szCs w:val="20"/>
          <w:vertAlign w:val="superscript"/>
        </w:rPr>
        <w:t>3</w:t>
      </w:r>
      <w:r w:rsidR="00C638FC" w:rsidRPr="00C638FC">
        <w:rPr>
          <w:sz w:val="20"/>
          <w:szCs w:val="20"/>
        </w:rPr>
        <w:t xml:space="preserve"> (15min)</w:t>
      </w:r>
      <w:r w:rsidRPr="00C638FC">
        <w:rPr>
          <w:sz w:val="20"/>
          <w:szCs w:val="20"/>
        </w:rPr>
        <w:t>.</w:t>
      </w:r>
    </w:p>
    <w:p w:rsidR="003D7755" w:rsidRDefault="003D7755">
      <w:pPr>
        <w:pStyle w:val="BodyText"/>
      </w:pPr>
    </w:p>
    <w:p w:rsidR="003D7755" w:rsidRDefault="003D7755">
      <w:pPr>
        <w:pStyle w:val="BodyText"/>
        <w:spacing w:before="8"/>
        <w:rPr>
          <w:sz w:val="15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3118"/>
        <w:gridCol w:w="3120"/>
        <w:gridCol w:w="3118"/>
        <w:gridCol w:w="3121"/>
      </w:tblGrid>
      <w:tr w:rsidR="003D7755">
        <w:trPr>
          <w:trHeight w:val="479"/>
        </w:trPr>
        <w:tc>
          <w:tcPr>
            <w:tcW w:w="1553" w:type="dxa"/>
            <w:shd w:val="clear" w:color="auto" w:fill="0F3644"/>
          </w:tcPr>
          <w:p w:rsidR="003D7755" w:rsidRDefault="003D77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0F3644"/>
          </w:tcPr>
          <w:p w:rsidR="003D7755" w:rsidRDefault="00BE7D89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Reporting period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0F3644"/>
          </w:tcPr>
          <w:p w:rsidR="003D7755" w:rsidRDefault="00BE7D89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Exceedances reported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0F3644"/>
          </w:tcPr>
          <w:p w:rsidR="003D7755" w:rsidRDefault="00BE7D89">
            <w:pPr>
              <w:pStyle w:val="TableParagraph"/>
              <w:spacing w:before="54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Exceedance Cause</w:t>
            </w:r>
          </w:p>
        </w:tc>
        <w:tc>
          <w:tcPr>
            <w:tcW w:w="3121" w:type="dxa"/>
            <w:tcBorders>
              <w:left w:val="nil"/>
            </w:tcBorders>
            <w:shd w:val="clear" w:color="auto" w:fill="0F3644"/>
          </w:tcPr>
          <w:p w:rsidR="003D7755" w:rsidRDefault="00BE7D89">
            <w:pPr>
              <w:pStyle w:val="TableParagraph"/>
              <w:spacing w:before="54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 Response</w:t>
            </w:r>
          </w:p>
        </w:tc>
      </w:tr>
      <w:tr w:rsidR="003D7755">
        <w:trPr>
          <w:trHeight w:val="765"/>
        </w:trPr>
        <w:tc>
          <w:tcPr>
            <w:tcW w:w="1553" w:type="dxa"/>
          </w:tcPr>
          <w:p w:rsidR="003D7755" w:rsidRDefault="00BE7D89" w:rsidP="00C638FC">
            <w:pPr>
              <w:pStyle w:val="TableParagraph"/>
              <w:spacing w:before="240"/>
              <w:ind w:left="289" w:right="2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Noise</w:t>
            </w:r>
          </w:p>
        </w:tc>
        <w:tc>
          <w:tcPr>
            <w:tcW w:w="3118" w:type="dxa"/>
          </w:tcPr>
          <w:p w:rsidR="003D7755" w:rsidRPr="0050046E" w:rsidRDefault="008276BD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  <w:r w:rsidRPr="0050046E">
              <w:rPr>
                <w:sz w:val="20"/>
              </w:rPr>
              <w:t>January</w:t>
            </w:r>
            <w:r w:rsidR="004736EA" w:rsidRPr="0050046E">
              <w:rPr>
                <w:sz w:val="20"/>
              </w:rPr>
              <w:t xml:space="preserve"> 20</w:t>
            </w:r>
            <w:r w:rsidR="00032A5B" w:rsidRPr="0050046E">
              <w:rPr>
                <w:sz w:val="20"/>
              </w:rPr>
              <w:t>20</w:t>
            </w:r>
          </w:p>
        </w:tc>
        <w:tc>
          <w:tcPr>
            <w:tcW w:w="3120" w:type="dxa"/>
          </w:tcPr>
          <w:p w:rsidR="003D7755" w:rsidRPr="00C638FC" w:rsidRDefault="00C638FC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18" w:type="dxa"/>
          </w:tcPr>
          <w:p w:rsidR="003D7755" w:rsidRPr="00C638FC" w:rsidRDefault="003D7755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</w:p>
        </w:tc>
        <w:tc>
          <w:tcPr>
            <w:tcW w:w="3121" w:type="dxa"/>
          </w:tcPr>
          <w:p w:rsidR="003D7755" w:rsidRPr="00C638FC" w:rsidRDefault="003D7755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</w:p>
        </w:tc>
      </w:tr>
      <w:tr w:rsidR="003D7755">
        <w:trPr>
          <w:trHeight w:val="717"/>
        </w:trPr>
        <w:tc>
          <w:tcPr>
            <w:tcW w:w="1553" w:type="dxa"/>
          </w:tcPr>
          <w:p w:rsidR="003D7755" w:rsidRDefault="00BE7D89" w:rsidP="00C638FC">
            <w:pPr>
              <w:pStyle w:val="TableParagraph"/>
              <w:spacing w:before="240"/>
              <w:ind w:left="289" w:right="2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Vibration</w:t>
            </w:r>
          </w:p>
        </w:tc>
        <w:tc>
          <w:tcPr>
            <w:tcW w:w="3118" w:type="dxa"/>
          </w:tcPr>
          <w:p w:rsidR="0050046E" w:rsidRPr="0050046E" w:rsidRDefault="00F56DDC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  <w:r w:rsidRPr="0050046E">
              <w:rPr>
                <w:sz w:val="20"/>
              </w:rPr>
              <w:t>August</w:t>
            </w:r>
            <w:r w:rsidR="00032A5B" w:rsidRPr="0050046E">
              <w:rPr>
                <w:sz w:val="20"/>
              </w:rPr>
              <w:t xml:space="preserve"> 2019 to </w:t>
            </w:r>
            <w:r w:rsidR="0050046E" w:rsidRPr="0050046E">
              <w:rPr>
                <w:sz w:val="20"/>
              </w:rPr>
              <w:t>October 2019</w:t>
            </w:r>
          </w:p>
          <w:p w:rsidR="003D7755" w:rsidRPr="0050046E" w:rsidRDefault="0050046E" w:rsidP="00C638FC">
            <w:pPr>
              <w:pStyle w:val="TableParagraph"/>
              <w:spacing w:before="240"/>
              <w:jc w:val="center"/>
              <w:rPr>
                <w:rFonts w:ascii="Times New Roman"/>
                <w:sz w:val="20"/>
              </w:rPr>
            </w:pPr>
            <w:r w:rsidRPr="0050046E">
              <w:rPr>
                <w:sz w:val="20"/>
              </w:rPr>
              <w:t xml:space="preserve">&amp; </w:t>
            </w:r>
            <w:r w:rsidR="00032A5B" w:rsidRPr="0050046E">
              <w:rPr>
                <w:sz w:val="20"/>
              </w:rPr>
              <w:t>January 2020</w:t>
            </w:r>
          </w:p>
        </w:tc>
        <w:tc>
          <w:tcPr>
            <w:tcW w:w="3120" w:type="dxa"/>
          </w:tcPr>
          <w:p w:rsidR="003D7755" w:rsidRPr="00C638FC" w:rsidRDefault="00C638FC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18" w:type="dxa"/>
          </w:tcPr>
          <w:p w:rsidR="003D7755" w:rsidRPr="00C638FC" w:rsidRDefault="003D7755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</w:p>
        </w:tc>
        <w:tc>
          <w:tcPr>
            <w:tcW w:w="3121" w:type="dxa"/>
          </w:tcPr>
          <w:p w:rsidR="003D7755" w:rsidRPr="00C638FC" w:rsidRDefault="003D7755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</w:p>
        </w:tc>
      </w:tr>
      <w:tr w:rsidR="003D7755">
        <w:trPr>
          <w:trHeight w:val="830"/>
        </w:trPr>
        <w:tc>
          <w:tcPr>
            <w:tcW w:w="1553" w:type="dxa"/>
          </w:tcPr>
          <w:p w:rsidR="003D7755" w:rsidRDefault="00BE7D89" w:rsidP="00C638FC">
            <w:pPr>
              <w:pStyle w:val="TableParagraph"/>
              <w:spacing w:before="240"/>
              <w:ind w:left="289" w:right="2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Air Quality</w:t>
            </w:r>
          </w:p>
        </w:tc>
        <w:tc>
          <w:tcPr>
            <w:tcW w:w="3118" w:type="dxa"/>
          </w:tcPr>
          <w:p w:rsidR="003D7755" w:rsidRPr="0050046E" w:rsidRDefault="00032A5B" w:rsidP="00C638FC">
            <w:pPr>
              <w:pStyle w:val="TableParagraph"/>
              <w:spacing w:before="240"/>
              <w:jc w:val="center"/>
              <w:rPr>
                <w:rFonts w:ascii="Times New Roman"/>
                <w:sz w:val="20"/>
              </w:rPr>
            </w:pPr>
            <w:r w:rsidRPr="0050046E">
              <w:rPr>
                <w:sz w:val="20"/>
              </w:rPr>
              <w:t>January 2020</w:t>
            </w:r>
          </w:p>
        </w:tc>
        <w:tc>
          <w:tcPr>
            <w:tcW w:w="3120" w:type="dxa"/>
          </w:tcPr>
          <w:p w:rsidR="003D7755" w:rsidRPr="00C638FC" w:rsidRDefault="00C638FC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118" w:type="dxa"/>
          </w:tcPr>
          <w:p w:rsidR="003D7755" w:rsidRPr="00C638FC" w:rsidRDefault="003D7755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</w:p>
        </w:tc>
        <w:tc>
          <w:tcPr>
            <w:tcW w:w="3121" w:type="dxa"/>
          </w:tcPr>
          <w:p w:rsidR="003D7755" w:rsidRPr="00C638FC" w:rsidRDefault="003D7755" w:rsidP="00C638FC">
            <w:pPr>
              <w:pStyle w:val="TableParagraph"/>
              <w:spacing w:before="240"/>
              <w:jc w:val="center"/>
              <w:rPr>
                <w:sz w:val="20"/>
              </w:rPr>
            </w:pPr>
          </w:p>
        </w:tc>
      </w:tr>
    </w:tbl>
    <w:p w:rsidR="003D7755" w:rsidRDefault="003D7755">
      <w:pPr>
        <w:pStyle w:val="BodyText"/>
        <w:spacing w:before="10"/>
        <w:rPr>
          <w:sz w:val="15"/>
        </w:rPr>
      </w:pPr>
    </w:p>
    <w:p w:rsidR="003D7755" w:rsidRDefault="003D7755">
      <w:pPr>
        <w:pStyle w:val="BodyText"/>
        <w:spacing w:before="10"/>
        <w:rPr>
          <w:sz w:val="18"/>
        </w:rPr>
      </w:pPr>
    </w:p>
    <w:p w:rsidR="003D7755" w:rsidRDefault="003D7755">
      <w:pPr>
        <w:pStyle w:val="BodyText"/>
        <w:rPr>
          <w:b/>
        </w:rPr>
      </w:pPr>
    </w:p>
    <w:p w:rsidR="00EF6984" w:rsidRDefault="00EF6984">
      <w:pPr>
        <w:pStyle w:val="BodyText"/>
        <w:rPr>
          <w:b/>
        </w:rPr>
      </w:pPr>
    </w:p>
    <w:p w:rsidR="003D7755" w:rsidRDefault="003D7755" w:rsidP="00EF6984">
      <w:pPr>
        <w:pStyle w:val="BodyText"/>
        <w:spacing w:before="7"/>
        <w:rPr>
          <w:sz w:val="18"/>
        </w:rPr>
      </w:pPr>
    </w:p>
    <w:sectPr w:rsidR="003D7755">
      <w:type w:val="continuous"/>
      <w:pgSz w:w="16840" w:h="11910" w:orient="landscape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503BC4"/>
    <w:lvl w:ilvl="0">
      <w:start w:val="1"/>
      <w:numFmt w:val="bullet"/>
      <w:pStyle w:val="ListBullet1"/>
      <w:lvlText w:val=""/>
      <w:lvlJc w:val="left"/>
      <w:pPr>
        <w:ind w:left="360" w:hanging="360"/>
      </w:pPr>
      <w:rPr>
        <w:rFonts w:ascii="Wingdings" w:hAnsi="Wingdings" w:hint="default"/>
        <w:color w:val="C0504D" w:themeColor="accent2"/>
        <w:position w:val="0"/>
        <w:sz w:val="16"/>
        <w:szCs w:val="16"/>
      </w:rPr>
    </w:lvl>
  </w:abstractNum>
  <w:abstractNum w:abstractNumId="1" w15:restartNumberingAfterBreak="0">
    <w:nsid w:val="4D1C7C9A"/>
    <w:multiLevelType w:val="hybridMultilevel"/>
    <w:tmpl w:val="CFFEF69A"/>
    <w:lvl w:ilvl="0" w:tplc="FAE6CDE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EA12540E">
      <w:numFmt w:val="bullet"/>
      <w:lvlText w:val="•"/>
      <w:lvlJc w:val="left"/>
      <w:pPr>
        <w:ind w:left="2341" w:hanging="360"/>
      </w:pPr>
      <w:rPr>
        <w:rFonts w:hint="default"/>
        <w:lang w:val="en-AU" w:eastAsia="en-AU" w:bidi="en-AU"/>
      </w:rPr>
    </w:lvl>
    <w:lvl w:ilvl="2" w:tplc="F3743810">
      <w:numFmt w:val="bullet"/>
      <w:lvlText w:val="•"/>
      <w:lvlJc w:val="left"/>
      <w:pPr>
        <w:ind w:left="3823" w:hanging="360"/>
      </w:pPr>
      <w:rPr>
        <w:rFonts w:hint="default"/>
        <w:lang w:val="en-AU" w:eastAsia="en-AU" w:bidi="en-AU"/>
      </w:rPr>
    </w:lvl>
    <w:lvl w:ilvl="3" w:tplc="0768A076">
      <w:numFmt w:val="bullet"/>
      <w:lvlText w:val="•"/>
      <w:lvlJc w:val="left"/>
      <w:pPr>
        <w:ind w:left="5305" w:hanging="360"/>
      </w:pPr>
      <w:rPr>
        <w:rFonts w:hint="default"/>
        <w:lang w:val="en-AU" w:eastAsia="en-AU" w:bidi="en-AU"/>
      </w:rPr>
    </w:lvl>
    <w:lvl w:ilvl="4" w:tplc="594E5B68">
      <w:numFmt w:val="bullet"/>
      <w:lvlText w:val="•"/>
      <w:lvlJc w:val="left"/>
      <w:pPr>
        <w:ind w:left="6787" w:hanging="360"/>
      </w:pPr>
      <w:rPr>
        <w:rFonts w:hint="default"/>
        <w:lang w:val="en-AU" w:eastAsia="en-AU" w:bidi="en-AU"/>
      </w:rPr>
    </w:lvl>
    <w:lvl w:ilvl="5" w:tplc="2974C5EC">
      <w:numFmt w:val="bullet"/>
      <w:lvlText w:val="•"/>
      <w:lvlJc w:val="left"/>
      <w:pPr>
        <w:ind w:left="8269" w:hanging="360"/>
      </w:pPr>
      <w:rPr>
        <w:rFonts w:hint="default"/>
        <w:lang w:val="en-AU" w:eastAsia="en-AU" w:bidi="en-AU"/>
      </w:rPr>
    </w:lvl>
    <w:lvl w:ilvl="6" w:tplc="A2DEC562">
      <w:numFmt w:val="bullet"/>
      <w:lvlText w:val="•"/>
      <w:lvlJc w:val="left"/>
      <w:pPr>
        <w:ind w:left="9751" w:hanging="360"/>
      </w:pPr>
      <w:rPr>
        <w:rFonts w:hint="default"/>
        <w:lang w:val="en-AU" w:eastAsia="en-AU" w:bidi="en-AU"/>
      </w:rPr>
    </w:lvl>
    <w:lvl w:ilvl="7" w:tplc="C8FC11D6">
      <w:numFmt w:val="bullet"/>
      <w:lvlText w:val="•"/>
      <w:lvlJc w:val="left"/>
      <w:pPr>
        <w:ind w:left="11232" w:hanging="360"/>
      </w:pPr>
      <w:rPr>
        <w:rFonts w:hint="default"/>
        <w:lang w:val="en-AU" w:eastAsia="en-AU" w:bidi="en-AU"/>
      </w:rPr>
    </w:lvl>
    <w:lvl w:ilvl="8" w:tplc="94061956">
      <w:numFmt w:val="bullet"/>
      <w:lvlText w:val="•"/>
      <w:lvlJc w:val="left"/>
      <w:pPr>
        <w:ind w:left="12714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79CA1FB6"/>
    <w:multiLevelType w:val="hybridMultilevel"/>
    <w:tmpl w:val="685AD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55"/>
    <w:rsid w:val="00032A5B"/>
    <w:rsid w:val="001C48D6"/>
    <w:rsid w:val="003D7755"/>
    <w:rsid w:val="004736EA"/>
    <w:rsid w:val="0050046E"/>
    <w:rsid w:val="005E59D1"/>
    <w:rsid w:val="008276BD"/>
    <w:rsid w:val="00BB30CC"/>
    <w:rsid w:val="00BE7D89"/>
    <w:rsid w:val="00C638FC"/>
    <w:rsid w:val="00D77EF1"/>
    <w:rsid w:val="00EF6984"/>
    <w:rsid w:val="00F56DDC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E0AEDD"/>
  <w15:docId w15:val="{264621AC-A592-4F33-AA2A-A8912552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4"/>
      <w:ind w:left="8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736EA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customStyle="1" w:styleId="ListBullet1">
    <w:name w:val="List Bullet 1"/>
    <w:basedOn w:val="Normal"/>
    <w:uiPriority w:val="2"/>
    <w:qFormat/>
    <w:rsid w:val="004736EA"/>
    <w:pPr>
      <w:widowControl/>
      <w:numPr>
        <w:numId w:val="2"/>
      </w:numPr>
      <w:autoSpaceDE/>
      <w:autoSpaceDN/>
      <w:spacing w:before="60" w:after="60"/>
      <w:ind w:left="284" w:hanging="284"/>
    </w:pPr>
    <w:rPr>
      <w:rFonts w:eastAsiaTheme="minorEastAsia" w:cstheme="minorBidi"/>
      <w:color w:val="000000" w:themeColor="text1"/>
      <w:sz w:val="20"/>
      <w:szCs w:val="24"/>
      <w:lang w:val="en-US" w:eastAsia="en-US" w:bidi="ar-SA"/>
    </w:rPr>
  </w:style>
  <w:style w:type="paragraph" w:customStyle="1" w:styleId="Table-Text">
    <w:name w:val="Table - Text"/>
    <w:qFormat/>
    <w:rsid w:val="004736EA"/>
    <w:pPr>
      <w:widowControl/>
      <w:autoSpaceDE/>
      <w:autoSpaceDN/>
      <w:spacing w:before="50" w:after="50"/>
    </w:pPr>
    <w:rPr>
      <w:rFonts w:ascii="Arial" w:eastAsiaTheme="minorEastAsia" w:hAnsi="Arial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06E9-B8EB-4089-9102-7BC37E36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MONITORING RESULTS</vt:lpstr>
    </vt:vector>
  </TitlesOfParts>
  <Company>CPB Contractors Pty Limited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MONITORING RESULTS</dc:title>
  <dc:subject>[project manager]</dc:subject>
  <dc:creator>David Bremner</dc:creator>
  <cp:lastModifiedBy>Gardner, Emma</cp:lastModifiedBy>
  <cp:revision>2</cp:revision>
  <dcterms:created xsi:type="dcterms:W3CDTF">2020-02-05T06:37:00Z</dcterms:created>
  <dcterms:modified xsi:type="dcterms:W3CDTF">2020-02-05T06:37:00Z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2020-01-13T00:00:00Z</vt:filetime>
  </property>
</Properties>
</file>